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5182" w:rsidRDefault="00F55182" w:rsidP="00F55182"/>
    <w:tbl>
      <w:tblPr>
        <w:tblStyle w:val="TableGrid"/>
        <w:tblW w:w="0" w:type="auto"/>
        <w:tblLook w:val="01E0" w:firstRow="1" w:lastRow="1" w:firstColumn="1" w:lastColumn="1" w:noHBand="0" w:noVBand="0"/>
      </w:tblPr>
      <w:tblGrid>
        <w:gridCol w:w="9350"/>
      </w:tblGrid>
      <w:tr w:rsidR="00F55182" w:rsidRPr="00D47444">
        <w:tc>
          <w:tcPr>
            <w:tcW w:w="9576" w:type="dxa"/>
            <w:shd w:val="clear" w:color="auto" w:fill="D9D9D9"/>
          </w:tcPr>
          <w:p w:rsidR="00F55182" w:rsidRPr="006816F8" w:rsidRDefault="00F55182" w:rsidP="00E16980">
            <w:pPr>
              <w:jc w:val="center"/>
              <w:rPr>
                <w:b/>
                <w:sz w:val="96"/>
                <w:szCs w:val="96"/>
              </w:rPr>
            </w:pPr>
          </w:p>
          <w:p w:rsidR="00F55182" w:rsidRDefault="00F55182" w:rsidP="00E16980">
            <w:pPr>
              <w:jc w:val="center"/>
              <w:rPr>
                <w:b/>
                <w:sz w:val="96"/>
                <w:szCs w:val="96"/>
              </w:rPr>
            </w:pPr>
            <w:r>
              <w:rPr>
                <w:b/>
                <w:sz w:val="96"/>
                <w:szCs w:val="96"/>
              </w:rPr>
              <w:t>INSTRUCTOR’S MANUAL FOR</w:t>
            </w:r>
          </w:p>
          <w:p w:rsidR="00F55182" w:rsidRDefault="00F55182" w:rsidP="00E16980">
            <w:pPr>
              <w:jc w:val="center"/>
              <w:rPr>
                <w:b/>
                <w:sz w:val="96"/>
                <w:szCs w:val="96"/>
              </w:rPr>
            </w:pPr>
            <w:r>
              <w:rPr>
                <w:b/>
                <w:sz w:val="96"/>
                <w:szCs w:val="96"/>
              </w:rPr>
              <w:t>TANGLEWOOD</w:t>
            </w:r>
          </w:p>
          <w:p w:rsidR="00F55182" w:rsidRPr="00EB3303" w:rsidRDefault="00F55182" w:rsidP="00E16980">
            <w:pPr>
              <w:jc w:val="center"/>
              <w:rPr>
                <w:b/>
                <w:sz w:val="96"/>
                <w:szCs w:val="96"/>
              </w:rPr>
            </w:pPr>
            <w:r w:rsidRPr="00EB3303">
              <w:rPr>
                <w:b/>
                <w:sz w:val="96"/>
                <w:szCs w:val="96"/>
              </w:rPr>
              <w:t>CASEBOOK</w:t>
            </w:r>
          </w:p>
          <w:p w:rsidR="00F55182" w:rsidRDefault="00F55182" w:rsidP="00E16980">
            <w:pPr>
              <w:jc w:val="center"/>
              <w:rPr>
                <w:b/>
                <w:sz w:val="40"/>
                <w:szCs w:val="40"/>
              </w:rPr>
            </w:pPr>
          </w:p>
          <w:p w:rsidR="00F55182" w:rsidRDefault="00F55182" w:rsidP="00E16980">
            <w:pPr>
              <w:jc w:val="center"/>
              <w:rPr>
                <w:b/>
                <w:sz w:val="40"/>
                <w:szCs w:val="40"/>
              </w:rPr>
            </w:pPr>
          </w:p>
          <w:p w:rsidR="00F55182" w:rsidRDefault="00F55182" w:rsidP="00E16980">
            <w:pPr>
              <w:jc w:val="center"/>
              <w:rPr>
                <w:b/>
                <w:sz w:val="40"/>
                <w:szCs w:val="40"/>
              </w:rPr>
            </w:pPr>
            <w:r>
              <w:rPr>
                <w:b/>
                <w:sz w:val="40"/>
                <w:szCs w:val="40"/>
              </w:rPr>
              <w:t>for use with</w:t>
            </w:r>
          </w:p>
          <w:p w:rsidR="00F55182" w:rsidRDefault="00F55182" w:rsidP="00E16980">
            <w:pPr>
              <w:jc w:val="center"/>
              <w:rPr>
                <w:b/>
                <w:sz w:val="40"/>
                <w:szCs w:val="40"/>
              </w:rPr>
            </w:pPr>
          </w:p>
          <w:p w:rsidR="00F55182" w:rsidRDefault="00F55182" w:rsidP="00E16980">
            <w:pPr>
              <w:jc w:val="center"/>
              <w:rPr>
                <w:b/>
                <w:sz w:val="40"/>
                <w:szCs w:val="40"/>
              </w:rPr>
            </w:pPr>
          </w:p>
          <w:p w:rsidR="00F55182" w:rsidRPr="006816F8" w:rsidRDefault="00F55182" w:rsidP="00E16980">
            <w:pPr>
              <w:jc w:val="center"/>
              <w:rPr>
                <w:b/>
                <w:sz w:val="96"/>
                <w:szCs w:val="96"/>
              </w:rPr>
            </w:pPr>
            <w:r w:rsidRPr="006816F8">
              <w:rPr>
                <w:b/>
                <w:sz w:val="96"/>
                <w:szCs w:val="96"/>
              </w:rPr>
              <w:t>STAFFING ORGANIZATIONS</w:t>
            </w:r>
          </w:p>
          <w:p w:rsidR="00F55182" w:rsidRPr="006816F8" w:rsidRDefault="004D6EBC" w:rsidP="00E16980">
            <w:pPr>
              <w:jc w:val="center"/>
              <w:rPr>
                <w:sz w:val="56"/>
                <w:szCs w:val="56"/>
              </w:rPr>
            </w:pPr>
            <w:r>
              <w:rPr>
                <w:b/>
                <w:i/>
                <w:sz w:val="56"/>
                <w:szCs w:val="56"/>
              </w:rPr>
              <w:t>6</w:t>
            </w:r>
            <w:r w:rsidR="00F55182" w:rsidRPr="006816F8">
              <w:rPr>
                <w:b/>
                <w:i/>
                <w:sz w:val="56"/>
                <w:szCs w:val="56"/>
                <w:vertAlign w:val="superscript"/>
              </w:rPr>
              <w:t>th</w:t>
            </w:r>
            <w:r w:rsidR="00F55182" w:rsidRPr="006816F8">
              <w:rPr>
                <w:b/>
                <w:i/>
                <w:sz w:val="56"/>
                <w:szCs w:val="56"/>
              </w:rPr>
              <w:t xml:space="preserve"> Ed.</w:t>
            </w:r>
          </w:p>
          <w:p w:rsidR="00F55182" w:rsidRDefault="00F55182" w:rsidP="00E16980">
            <w:pPr>
              <w:jc w:val="center"/>
              <w:rPr>
                <w:sz w:val="40"/>
                <w:szCs w:val="40"/>
              </w:rPr>
            </w:pPr>
          </w:p>
          <w:p w:rsidR="00F55182" w:rsidRPr="006816F8" w:rsidRDefault="00F55182" w:rsidP="00E16980">
            <w:pPr>
              <w:jc w:val="center"/>
              <w:rPr>
                <w:sz w:val="40"/>
                <w:szCs w:val="40"/>
              </w:rPr>
            </w:pPr>
            <w:r>
              <w:rPr>
                <w:sz w:val="40"/>
                <w:szCs w:val="40"/>
              </w:rPr>
              <w:t>Kammeyer-Mueller</w:t>
            </w:r>
          </w:p>
        </w:tc>
      </w:tr>
    </w:tbl>
    <w:p w:rsidR="00F55182" w:rsidRDefault="00F55182" w:rsidP="00F55182">
      <w:pPr>
        <w:rPr>
          <w:b/>
        </w:rPr>
      </w:pPr>
    </w:p>
    <w:p w:rsidR="00F55182" w:rsidRDefault="00F55182" w:rsidP="00F55182">
      <w:pPr>
        <w:jc w:val="center"/>
        <w:sectPr w:rsidR="00F55182" w:rsidSect="00316EEA">
          <w:headerReference w:type="default" r:id="rId7"/>
          <w:footerReference w:type="default" r:id="rId8"/>
          <w:pgSz w:w="12240" w:h="15840"/>
          <w:pgMar w:top="1440" w:right="1440" w:bottom="1440" w:left="1440" w:header="720" w:footer="720" w:gutter="0"/>
          <w:pgNumType w:start="1"/>
          <w:cols w:space="720"/>
          <w:docGrid w:linePitch="360"/>
        </w:sectPr>
      </w:pPr>
    </w:p>
    <w:p w:rsidR="00F55182" w:rsidRDefault="00F55182" w:rsidP="00F55182">
      <w:pPr>
        <w:jc w:val="center"/>
        <w:rPr>
          <w:b/>
        </w:rPr>
      </w:pPr>
      <w:r>
        <w:rPr>
          <w:b/>
        </w:rPr>
        <w:lastRenderedPageBreak/>
        <w:t xml:space="preserve">TANGLEWOOD CASEBOOK </w:t>
      </w:r>
    </w:p>
    <w:p w:rsidR="00F55182" w:rsidRDefault="00F55182" w:rsidP="00F55182">
      <w:pPr>
        <w:jc w:val="center"/>
        <w:rPr>
          <w:b/>
        </w:rPr>
      </w:pPr>
      <w:r>
        <w:rPr>
          <w:b/>
        </w:rPr>
        <w:t>INSTRUCTOR’S MANUAL</w:t>
      </w:r>
    </w:p>
    <w:p w:rsidR="00F55182" w:rsidRDefault="00F55182" w:rsidP="00F55182">
      <w:pPr>
        <w:rPr>
          <w:b/>
        </w:rPr>
      </w:pPr>
    </w:p>
    <w:p w:rsidR="000E3791" w:rsidRPr="00DA09CD" w:rsidRDefault="004440C5" w:rsidP="00A80996">
      <w:pPr>
        <w:rPr>
          <w:b/>
        </w:rPr>
      </w:pPr>
      <w:bookmarkStart w:id="0" w:name="_GoBack"/>
      <w:bookmarkEnd w:id="0"/>
      <w:r>
        <w:rPr>
          <w:b/>
        </w:rPr>
        <w:t>I</w:t>
      </w:r>
      <w:r w:rsidR="000E3791">
        <w:rPr>
          <w:b/>
        </w:rPr>
        <w:t xml:space="preserve">nstructor </w:t>
      </w:r>
      <w:r w:rsidR="00BD5356">
        <w:rPr>
          <w:b/>
        </w:rPr>
        <w:t>Guidelines for Case 1</w:t>
      </w:r>
    </w:p>
    <w:p w:rsidR="000E3791" w:rsidRDefault="000E3791" w:rsidP="000E3791"/>
    <w:p w:rsidR="000E3791" w:rsidRPr="00192C9B" w:rsidRDefault="000E3791" w:rsidP="000E3791">
      <w:pPr>
        <w:rPr>
          <w:b/>
        </w:rPr>
      </w:pPr>
      <w:r>
        <w:rPr>
          <w:b/>
        </w:rPr>
        <w:t>Basic ideas for the case</w:t>
      </w:r>
      <w:r w:rsidRPr="00192C9B">
        <w:rPr>
          <w:b/>
        </w:rPr>
        <w:t>:</w:t>
      </w:r>
    </w:p>
    <w:p w:rsidR="000E3791" w:rsidRDefault="000E3791" w:rsidP="000E3791">
      <w:r>
        <w:t xml:space="preserve">The textbook provides a series of questions related to staffing levels and staffing quality. Students are required to describe how Tanglewood is positioned with respect to these issues in the first case. The nature of the strategic questions provided in the first case is relatively open-ended, and allows students a great deal of discretion regarding what elements of the organizational context are most important. </w:t>
      </w:r>
    </w:p>
    <w:p w:rsidR="000E3791" w:rsidRDefault="000E3791" w:rsidP="000E3791">
      <w:pPr>
        <w:rPr>
          <w:b/>
        </w:rPr>
      </w:pPr>
    </w:p>
    <w:p w:rsidR="000E3791" w:rsidRPr="00192C9B" w:rsidRDefault="000E3791" w:rsidP="000E3791">
      <w:pPr>
        <w:rPr>
          <w:b/>
        </w:rPr>
      </w:pPr>
      <w:r w:rsidRPr="00192C9B">
        <w:rPr>
          <w:b/>
        </w:rPr>
        <w:t>Instructional tips:</w:t>
      </w:r>
    </w:p>
    <w:p w:rsidR="000E3791" w:rsidRDefault="000E3791" w:rsidP="000E3791">
      <w:pPr>
        <w:numPr>
          <w:ilvl w:val="0"/>
          <w:numId w:val="1"/>
        </w:numPr>
      </w:pPr>
      <w:r>
        <w:t>Although the answers are broken down “question by question” here, students should be encouraged to present their analyses in the form of a narrative, like a consulting report.</w:t>
      </w:r>
    </w:p>
    <w:p w:rsidR="000E3791" w:rsidRDefault="000E3791" w:rsidP="000E3791">
      <w:pPr>
        <w:numPr>
          <w:ilvl w:val="0"/>
          <w:numId w:val="1"/>
        </w:numPr>
      </w:pPr>
      <w:r>
        <w:t>Encourage students to describe a few “key” issues that keep appearing as they perform the case. Issues like market strategy, employee involvement, and the organization’s growth over time will impact multiple outcomes.</w:t>
      </w:r>
    </w:p>
    <w:p w:rsidR="000E3791" w:rsidRDefault="000E3791" w:rsidP="000E3791">
      <w:pPr>
        <w:numPr>
          <w:ilvl w:val="0"/>
          <w:numId w:val="1"/>
        </w:numPr>
      </w:pPr>
      <w:r>
        <w:t xml:space="preserve">Tell students in advance that there are </w:t>
      </w:r>
      <w:r w:rsidR="00667357">
        <w:t>many</w:t>
      </w:r>
      <w:r>
        <w:t xml:space="preserve"> points to be covered, and that the points may seem to be overlapping. Let them know that staffing strategy is complex, and that they will need to consider all of the issues from the first case throughout the course.</w:t>
      </w:r>
    </w:p>
    <w:p w:rsidR="000E3791" w:rsidRDefault="000E3791" w:rsidP="000E3791">
      <w:pPr>
        <w:numPr>
          <w:ilvl w:val="0"/>
          <w:numId w:val="1"/>
        </w:numPr>
      </w:pPr>
      <w:r>
        <w:t xml:space="preserve">Take advantage of the open-ended nature of the initial questions in your discussion of the case to draw students out and help them feel comfortable with making decisions. </w:t>
      </w:r>
    </w:p>
    <w:p w:rsidR="000E3791" w:rsidRPr="00A80996" w:rsidRDefault="000E3791" w:rsidP="000E3791">
      <w:r>
        <w:rPr>
          <w:b/>
        </w:rPr>
        <w:t>Answers and Discussion Points:</w:t>
      </w:r>
    </w:p>
    <w:p w:rsidR="000E3791" w:rsidRDefault="000E3791" w:rsidP="000E3791"/>
    <w:p w:rsidR="000E3791" w:rsidRPr="00655F7F" w:rsidRDefault="000E3791" w:rsidP="000E3791">
      <w:pPr>
        <w:rPr>
          <w:b/>
          <w:i/>
        </w:rPr>
      </w:pPr>
      <w:r>
        <w:rPr>
          <w:b/>
          <w:i/>
        </w:rPr>
        <w:t>Staffing Levels</w:t>
      </w:r>
    </w:p>
    <w:p w:rsidR="000E3791" w:rsidRPr="00984C1C" w:rsidRDefault="000E3791" w:rsidP="000E3791">
      <w:pPr>
        <w:rPr>
          <w:i/>
        </w:rPr>
      </w:pPr>
      <w:r w:rsidRPr="00984C1C">
        <w:rPr>
          <w:i/>
        </w:rPr>
        <w:t>Acquire or develop talent</w:t>
      </w:r>
    </w:p>
    <w:p w:rsidR="000E3791" w:rsidRDefault="000E3791" w:rsidP="000E3791">
      <w:r>
        <w:tab/>
        <w:t>The question of whether to acquire or develop talent hinges, to a large extent, on how the organization seeks to find individuals with the required knowledge skills and abilities from the outside market, or if they are likely to engage in extensive training. The importance of culture in Tanglewood suggests that an internal development strategy is likely to be advisable.</w:t>
      </w:r>
    </w:p>
    <w:p w:rsidR="000E3791" w:rsidRPr="00984C1C" w:rsidRDefault="004D6EBC" w:rsidP="000E3791">
      <w:pPr>
        <w:rPr>
          <w:i/>
        </w:rPr>
      </w:pPr>
      <w:r>
        <w:rPr>
          <w:i/>
        </w:rPr>
        <w:t>Hire yourself or outsource</w:t>
      </w:r>
    </w:p>
    <w:p w:rsidR="000E3791" w:rsidRDefault="000E3791" w:rsidP="000E3791">
      <w:r>
        <w:tab/>
      </w:r>
      <w:r w:rsidR="004D6EBC">
        <w:t>This is a complex question because it depends on which components of the staffing process are being discussed</w:t>
      </w:r>
      <w:r>
        <w:t>.</w:t>
      </w:r>
      <w:r w:rsidR="004D6EBC">
        <w:t xml:space="preserve"> </w:t>
      </w:r>
      <w:r w:rsidR="00D8785C">
        <w:t>It makes sense to keep the recruiting and selection process entirely in-house because of the unique requirements for employees in this organization.</w:t>
      </w:r>
      <w:r w:rsidR="001A466A">
        <w:t xml:space="preserve"> Organizations with a strong, unique culture may not wish to engage in outsourcing.</w:t>
      </w:r>
      <w:r w:rsidR="00D8785C">
        <w:t xml:space="preserve"> On the other hand, stores may find that for some markets, there are </w:t>
      </w:r>
      <w:r w:rsidR="001A466A">
        <w:t xml:space="preserve">local </w:t>
      </w:r>
      <w:r w:rsidR="00D8785C">
        <w:t xml:space="preserve">recruiting firms with more expertise and </w:t>
      </w:r>
      <w:r w:rsidR="004265A7">
        <w:t xml:space="preserve">specialized </w:t>
      </w:r>
      <w:r w:rsidR="00D8785C">
        <w:t xml:space="preserve">staff </w:t>
      </w:r>
      <w:r w:rsidR="004265A7">
        <w:t>who</w:t>
      </w:r>
      <w:r w:rsidR="00D8785C">
        <w:t xml:space="preserve"> could facilitate </w:t>
      </w:r>
      <w:r w:rsidR="00761693">
        <w:t>bringing in candidates</w:t>
      </w:r>
      <w:r w:rsidR="001A466A">
        <w:t xml:space="preserve"> and performing initial screens for a cheaper cost than if </w:t>
      </w:r>
      <w:r w:rsidR="004265A7">
        <w:t>each store has to do everything by themselves</w:t>
      </w:r>
      <w:r w:rsidR="00D8785C">
        <w:t>.</w:t>
      </w:r>
      <w:r w:rsidR="001A466A">
        <w:t xml:space="preserve"> </w:t>
      </w:r>
    </w:p>
    <w:p w:rsidR="000E3791" w:rsidRPr="00984C1C" w:rsidRDefault="000E3791" w:rsidP="000E3791">
      <w:pPr>
        <w:rPr>
          <w:i/>
        </w:rPr>
      </w:pPr>
      <w:r w:rsidRPr="00984C1C">
        <w:rPr>
          <w:i/>
        </w:rPr>
        <w:t>External or internal hiring</w:t>
      </w:r>
    </w:p>
    <w:p w:rsidR="000E3791" w:rsidRDefault="000E3791" w:rsidP="000E3791">
      <w:r>
        <w:tab/>
        <w:t>Again, cultural factors suggest that Tanglewood should use more internal hiring. Individuals who have extensive experience with the organization’s unique methods for doing business will be likely to be more successful.</w:t>
      </w:r>
    </w:p>
    <w:p w:rsidR="000E3791" w:rsidRPr="00984C1C" w:rsidRDefault="000E3791" w:rsidP="000E3791">
      <w:pPr>
        <w:rPr>
          <w:i/>
        </w:rPr>
      </w:pPr>
      <w:r w:rsidRPr="00984C1C">
        <w:rPr>
          <w:i/>
        </w:rPr>
        <w:t>Core or flexible workforce</w:t>
      </w:r>
    </w:p>
    <w:p w:rsidR="000E3791" w:rsidRDefault="000E3791" w:rsidP="000E3791">
      <w:r>
        <w:tab/>
        <w:t xml:space="preserve">The importance of consistency in employee behavior and an understanding of corporate culture generally point towards using a core workforce. Some students will realize that retail is </w:t>
      </w:r>
      <w:r>
        <w:lastRenderedPageBreak/>
        <w:t>always a seasonal business, and will therefore recommend the use of some flexible or temporary employees during peak holiday seasons.</w:t>
      </w:r>
    </w:p>
    <w:p w:rsidR="000E3791" w:rsidRPr="00984C1C" w:rsidRDefault="000E3791" w:rsidP="000E3791">
      <w:pPr>
        <w:rPr>
          <w:i/>
        </w:rPr>
      </w:pPr>
      <w:r w:rsidRPr="00984C1C">
        <w:rPr>
          <w:i/>
        </w:rPr>
        <w:t>Hire or retain</w:t>
      </w:r>
    </w:p>
    <w:p w:rsidR="000E3791" w:rsidRDefault="000E3791" w:rsidP="000E3791">
      <w:r>
        <w:tab/>
        <w:t>In general, organizations that place a heavy weight on employee suggestions will find that retention is a better idea. This is an excellent point to note the relationship between staffing system elements. For example, because Tanglewood is expected to engage in extensive employee development, constant hiring is not likely to be a cost-effective strategy. It’s also probably a better idea to use a retention-oriented strategy for an organization that hires from within, because the organization wants to keep its entry level employees around long enough to observe their potential.</w:t>
      </w:r>
    </w:p>
    <w:p w:rsidR="000E3791" w:rsidRPr="00984C1C" w:rsidRDefault="000E3791" w:rsidP="000E3791">
      <w:pPr>
        <w:rPr>
          <w:i/>
        </w:rPr>
      </w:pPr>
      <w:r w:rsidRPr="00984C1C">
        <w:rPr>
          <w:i/>
        </w:rPr>
        <w:t>National or global</w:t>
      </w:r>
    </w:p>
    <w:p w:rsidR="000E3791" w:rsidRDefault="000E3791" w:rsidP="000E3791">
      <w:r>
        <w:tab/>
        <w:t xml:space="preserve">Tanglewood is located entirely within the </w:t>
      </w:r>
      <w:smartTag w:uri="urn:schemas-microsoft-com:office:smarttags" w:element="country-region">
        <w:r>
          <w:t>United States</w:t>
        </w:r>
      </w:smartTag>
      <w:r>
        <w:t xml:space="preserve">, and since all stores are in the </w:t>
      </w:r>
      <w:smartTag w:uri="urn:schemas-microsoft-com:office:smarttags" w:element="place">
        <w:smartTag w:uri="urn:schemas-microsoft-com:office:smarttags" w:element="country-region">
          <w:r>
            <w:t>U.S.</w:t>
          </w:r>
        </w:smartTag>
      </w:smartTag>
      <w:r>
        <w:t xml:space="preserve"> as well, a national employee base is advisable. Students may recognize the proximity of the organization’s core operations to Canadian population centers in </w:t>
      </w:r>
      <w:smartTag w:uri="urn:schemas-microsoft-com:office:smarttags" w:element="place">
        <w:smartTag w:uri="urn:schemas-microsoft-com:office:smarttags" w:element="State">
          <w:r>
            <w:t>British Columbia</w:t>
          </w:r>
        </w:smartTag>
      </w:smartTag>
      <w:r>
        <w:t>. International outsourcing, however, is not likely to be an option for most store positions.</w:t>
      </w:r>
    </w:p>
    <w:p w:rsidR="000E3791" w:rsidRPr="00984C1C" w:rsidRDefault="000E3791" w:rsidP="000E3791">
      <w:pPr>
        <w:rPr>
          <w:i/>
        </w:rPr>
      </w:pPr>
      <w:r w:rsidRPr="00984C1C">
        <w:rPr>
          <w:i/>
        </w:rPr>
        <w:t>Attract or relocate</w:t>
      </w:r>
    </w:p>
    <w:p w:rsidR="000E3791" w:rsidRDefault="000E3791" w:rsidP="000E3791">
      <w:r>
        <w:tab/>
        <w:t xml:space="preserve">This is a tricky question for Tanglewood. They may wish to create an overall labor pool for managers who will be located wherever there is a need. In this case, it might make sense for them to bring in high quality candidates from the college employment market in large urban areas (like </w:t>
      </w:r>
      <w:smartTag w:uri="urn:schemas-microsoft-com:office:smarttags" w:element="City">
        <w:r>
          <w:t>Spokane</w:t>
        </w:r>
      </w:smartTag>
      <w:r>
        <w:t xml:space="preserve"> or </w:t>
      </w:r>
      <w:smartTag w:uri="urn:schemas-microsoft-com:office:smarttags" w:element="place">
        <w:smartTag w:uri="urn:schemas-microsoft-com:office:smarttags" w:element="City">
          <w:r>
            <w:t>Seattle</w:t>
          </w:r>
        </w:smartTag>
      </w:smartTag>
      <w:r>
        <w:t>) and then locate them at stores. The alternative possibility is to encourage them to find individuals who are well-linked in their communities and understand the specific needs of people who live in the area. This is a good area for discussion.</w:t>
      </w:r>
    </w:p>
    <w:p w:rsidR="000E3791" w:rsidRPr="00475FD2" w:rsidRDefault="000E3791" w:rsidP="000E3791">
      <w:pPr>
        <w:rPr>
          <w:i/>
        </w:rPr>
      </w:pPr>
      <w:r w:rsidRPr="00475FD2">
        <w:rPr>
          <w:i/>
        </w:rPr>
        <w:t>Overstaff or understaff</w:t>
      </w:r>
    </w:p>
    <w:p w:rsidR="000E3791" w:rsidRPr="00632E47" w:rsidRDefault="000E3791" w:rsidP="000E3791">
      <w:pPr>
        <w:ind w:firstLine="720"/>
        <w:rPr>
          <w:i/>
        </w:rPr>
      </w:pPr>
      <w:r>
        <w:t>Generally, a quality and customer service oriented organization prefers to carry a few extra employees rather than taking the chance of negative customer interactions due to understaffing. Students can discuss how understaffing can lead to dissatisfaction, stress, and other negative outcomes. Overstaffing obviously carries a direct financial costs, so students also should be reminded that the ideal solution is to staff as nearly to expected demands as possible.</w:t>
      </w:r>
      <w:r>
        <w:br/>
      </w:r>
      <w:r w:rsidR="006E03B0">
        <w:rPr>
          <w:i/>
        </w:rPr>
        <w:t>Short- or long-term focus</w:t>
      </w:r>
    </w:p>
    <w:p w:rsidR="000E3791" w:rsidRDefault="000E3791" w:rsidP="000E3791">
      <w:r>
        <w:tab/>
        <w:t>The question here is whether Tanglewood</w:t>
      </w:r>
      <w:r w:rsidR="00F6087F">
        <w:t xml:space="preserve"> should plan on finding workers who will be immediately ready to work from day one, or if they should adopt a longer-range strategy that considers employment over the long-term</w:t>
      </w:r>
      <w:r>
        <w:t>.</w:t>
      </w:r>
      <w:r w:rsidR="00F6087F">
        <w:t xml:space="preserve"> Because of the focus on employee development, it makes sense for Tanglewood to plan for the future. Unexpected shortages in staff during peak shopping months can also be extremely damaging for an organization like Tanglewood that prides itself on customer service.</w:t>
      </w:r>
    </w:p>
    <w:p w:rsidR="000E3791" w:rsidRDefault="000E3791" w:rsidP="000E3791"/>
    <w:p w:rsidR="000E3791" w:rsidRPr="00655F7F" w:rsidRDefault="000E3791" w:rsidP="000E3791">
      <w:pPr>
        <w:rPr>
          <w:b/>
          <w:i/>
        </w:rPr>
      </w:pPr>
      <w:r>
        <w:rPr>
          <w:b/>
          <w:i/>
        </w:rPr>
        <w:t>Staffing Quality</w:t>
      </w:r>
    </w:p>
    <w:p w:rsidR="000E3791" w:rsidRDefault="000E3791" w:rsidP="000E3791">
      <w:r>
        <w:rPr>
          <w:i/>
        </w:rPr>
        <w:t>Person job or person organization match</w:t>
      </w:r>
    </w:p>
    <w:p w:rsidR="000E3791" w:rsidRPr="00610ED1" w:rsidRDefault="000E3791" w:rsidP="000E3791">
      <w:r>
        <w:tab/>
        <w:t xml:space="preserve">The nature of general retail work certainly requires a strong customer service orientation, which is probably the most important part of the person-job match. A company like Tanglewood, which has a strong culture and extensive promotion from within, will probably have a need for people who can fit with the organization as a whole. So in this respect, a good person/organization match requires the right philosophy of employee participation and teamwork. Finding managers who can adapt to this situation is probably especially important and difficult. </w:t>
      </w:r>
    </w:p>
    <w:p w:rsidR="000E3791" w:rsidRDefault="000E3791" w:rsidP="000E3791">
      <w:r>
        <w:rPr>
          <w:i/>
        </w:rPr>
        <w:t>Specific or general KSAO</w:t>
      </w:r>
    </w:p>
    <w:p w:rsidR="000E3791" w:rsidRDefault="000E3791" w:rsidP="000E3791">
      <w:r>
        <w:lastRenderedPageBreak/>
        <w:tab/>
        <w:t>Specific KSAO for retail work would include knowledge of the industry; students should also consult the job descriptions at the end of the case to develop a good sense for what is required in terms of knowledge, skills, and abilities. Being able to work well with people, communicate, and having initiative are important general KSAO that also should be present in representatives across all levels of Tanglewood.</w:t>
      </w:r>
    </w:p>
    <w:p w:rsidR="000E3791" w:rsidRDefault="000E3791" w:rsidP="000E3791">
      <w:r>
        <w:rPr>
          <w:i/>
        </w:rPr>
        <w:t>Exceptional or acceptable workforce quality</w:t>
      </w:r>
    </w:p>
    <w:p w:rsidR="000E3791" w:rsidRDefault="000E3791" w:rsidP="000E3791">
      <w:r>
        <w:tab/>
        <w:t>Most students will resist the idea that any organization needs acceptable workforce quality. Because Tanglewood is a moderate price range retailer that competes with larger, lower priced chains like WalMart primarily by having superior customer service, there is some merit in suggesting an exceptional workforce. However, this is still a discount retailer, and students should know that the requirements for new employees are probably not as stringent as they would be for a high end retailer like Macy’s or Saks.</w:t>
      </w:r>
    </w:p>
    <w:p w:rsidR="000E3791" w:rsidRDefault="000E3791" w:rsidP="000E3791">
      <w:r>
        <w:rPr>
          <w:i/>
        </w:rPr>
        <w:t>Active or passive diversity</w:t>
      </w:r>
    </w:p>
    <w:p w:rsidR="000E3791" w:rsidRPr="00935E9A" w:rsidRDefault="000E3791" w:rsidP="000E3791">
      <w:r>
        <w:tab/>
        <w:t>This is a controversial issue for</w:t>
      </w:r>
      <w:r>
        <w:rPr>
          <w:b/>
        </w:rPr>
        <w:t xml:space="preserve"> </w:t>
      </w:r>
      <w:r>
        <w:t>many students. Tanglewood certainly does promote a diverse workforce concept. Later cases will require students to consider how to engage in active diversity efforts. It is at this point that a class discussion regarding the merits and perils of affirmative action should be at least initiated. The discussion should probably not be driven by a specific ideological bent (either in favor of or opposed to active diversity), because students on both sides of the issue are best served by recognizing the complexities of diversity in organizations.</w:t>
      </w:r>
    </w:p>
    <w:p w:rsidR="000E3791" w:rsidRDefault="000E3791" w:rsidP="000E3791"/>
    <w:sectPr w:rsidR="000E3791" w:rsidSect="00A80996">
      <w:pgSz w:w="12240" w:h="15840" w:code="1"/>
      <w:pgMar w:top="1440" w:right="1440" w:bottom="1440" w:left="1440" w:header="720" w:footer="72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18BA" w:rsidRDefault="005418BA">
      <w:r>
        <w:separator/>
      </w:r>
    </w:p>
  </w:endnote>
  <w:endnote w:type="continuationSeparator" w:id="0">
    <w:p w:rsidR="005418BA" w:rsidRDefault="00541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FD1" w:rsidRPr="00CA2570" w:rsidRDefault="00F77FD1" w:rsidP="00F40403">
    <w:pPr>
      <w:pStyle w:val="Footer"/>
      <w:jc w:val="center"/>
      <w:rPr>
        <w:sz w:val="20"/>
      </w:rPr>
    </w:pPr>
    <w:r w:rsidRPr="00CA2570">
      <w:rPr>
        <w:rStyle w:val="PageNumber"/>
        <w:sz w:val="20"/>
      </w:rPr>
      <w:t>TCIM-</w:t>
    </w:r>
    <w:r w:rsidRPr="00CA2570">
      <w:rPr>
        <w:rStyle w:val="PageNumber"/>
        <w:sz w:val="20"/>
      </w:rPr>
      <w:fldChar w:fldCharType="begin"/>
    </w:r>
    <w:r w:rsidRPr="00CA2570">
      <w:rPr>
        <w:rStyle w:val="PageNumber"/>
        <w:sz w:val="20"/>
      </w:rPr>
      <w:instrText xml:space="preserve"> PAGE </w:instrText>
    </w:r>
    <w:r w:rsidRPr="00CA2570">
      <w:rPr>
        <w:rStyle w:val="PageNumber"/>
        <w:sz w:val="20"/>
      </w:rPr>
      <w:fldChar w:fldCharType="separate"/>
    </w:r>
    <w:r w:rsidR="00A80996">
      <w:rPr>
        <w:rStyle w:val="PageNumber"/>
        <w:noProof/>
        <w:sz w:val="20"/>
      </w:rPr>
      <w:t>1</w:t>
    </w:r>
    <w:r w:rsidRPr="00CA2570">
      <w:rPr>
        <w:rStyle w:val="PageNumbe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18BA" w:rsidRDefault="005418BA">
      <w:r>
        <w:separator/>
      </w:r>
    </w:p>
  </w:footnote>
  <w:footnote w:type="continuationSeparator" w:id="0">
    <w:p w:rsidR="005418BA" w:rsidRDefault="005418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FD1" w:rsidRPr="00316621" w:rsidRDefault="00F77FD1" w:rsidP="00316621">
    <w:pPr>
      <w:rPr>
        <w:sz w:val="20"/>
      </w:rPr>
    </w:pPr>
    <w:r w:rsidRPr="00316621">
      <w:rPr>
        <w:sz w:val="20"/>
      </w:rPr>
      <w:t>Tanglewood Casebook Instructor’s Manual</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04E5A"/>
    <w:multiLevelType w:val="hybridMultilevel"/>
    <w:tmpl w:val="3D0C5E04"/>
    <w:lvl w:ilvl="0" w:tplc="448C0110">
      <w:start w:val="1"/>
      <w:numFmt w:val="decimal"/>
      <w:lvlText w:val="%1 point:"/>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A186307"/>
    <w:multiLevelType w:val="hybridMultilevel"/>
    <w:tmpl w:val="8BD4AF18"/>
    <w:lvl w:ilvl="0" w:tplc="0FA80E94">
      <w:start w:val="1"/>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CCE6CC7"/>
    <w:multiLevelType w:val="multilevel"/>
    <w:tmpl w:val="E4F0685C"/>
    <w:lvl w:ilvl="0">
      <w:start w:val="1"/>
      <w:numFmt w:val="decimal"/>
      <w:lvlText w:val="%1."/>
      <w:lvlJc w:val="left"/>
      <w:pPr>
        <w:tabs>
          <w:tab w:val="num" w:pos="720"/>
        </w:tabs>
        <w:ind w:left="720" w:firstLine="0"/>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0CE55C6F"/>
    <w:multiLevelType w:val="hybridMultilevel"/>
    <w:tmpl w:val="A844D9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133B2C"/>
    <w:multiLevelType w:val="hybridMultilevel"/>
    <w:tmpl w:val="F816F3BA"/>
    <w:lvl w:ilvl="0" w:tplc="2378FDDE">
      <w:start w:val="1"/>
      <w:numFmt w:val="decimal"/>
      <w:lvlText w:val="%1)"/>
      <w:lvlJc w:val="left"/>
      <w:pPr>
        <w:tabs>
          <w:tab w:val="num" w:pos="975"/>
        </w:tabs>
        <w:ind w:left="975" w:hanging="975"/>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DE12E04"/>
    <w:multiLevelType w:val="multilevel"/>
    <w:tmpl w:val="A8287CEC"/>
    <w:lvl w:ilvl="0">
      <w:start w:val="1"/>
      <w:numFmt w:val="decimal"/>
      <w:lvlText w:val="%1."/>
      <w:lvlJc w:val="left"/>
      <w:pPr>
        <w:tabs>
          <w:tab w:val="num" w:pos="720"/>
        </w:tabs>
        <w:ind w:left="72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11DB3A61"/>
    <w:multiLevelType w:val="multilevel"/>
    <w:tmpl w:val="C9881E3A"/>
    <w:lvl w:ilvl="0">
      <w:start w:val="1"/>
      <w:numFmt w:val="decimal"/>
      <w:lvlText w:val="%1."/>
      <w:lvlJc w:val="left"/>
      <w:pPr>
        <w:tabs>
          <w:tab w:val="num" w:pos="0"/>
        </w:tabs>
        <w:ind w:left="0" w:firstLine="0"/>
      </w:pPr>
      <w:rPr>
        <w:rFonts w:hint="default"/>
        <w:b w:val="0"/>
        <w:i w:val="0"/>
      </w:rPr>
    </w:lvl>
    <w:lvl w:ilvl="1">
      <w:start w:val="1"/>
      <w:numFmt w:val="lowerLetter"/>
      <w:lvlText w:val="%2."/>
      <w:lvlJc w:val="left"/>
      <w:pPr>
        <w:tabs>
          <w:tab w:val="num" w:pos="720"/>
        </w:tabs>
        <w:ind w:left="720" w:hanging="360"/>
      </w:pPr>
      <w:rPr>
        <w:rFonts w:hint="default"/>
      </w:rPr>
    </w:lvl>
    <w:lvl w:ilvl="2">
      <w:start w:val="1"/>
      <w:numFmt w:val="lowerRoman"/>
      <w:lvlText w:val="%3."/>
      <w:lvlJc w:val="right"/>
      <w:pPr>
        <w:tabs>
          <w:tab w:val="num" w:pos="1440"/>
        </w:tabs>
        <w:ind w:left="1440" w:hanging="180"/>
      </w:pPr>
      <w:rPr>
        <w:rFonts w:hint="default"/>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7" w15:restartNumberingAfterBreak="0">
    <w:nsid w:val="131C46E6"/>
    <w:multiLevelType w:val="multilevel"/>
    <w:tmpl w:val="3D0C5E04"/>
    <w:lvl w:ilvl="0">
      <w:start w:val="1"/>
      <w:numFmt w:val="decimal"/>
      <w:lvlText w:val="%1 point:"/>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6D76946"/>
    <w:multiLevelType w:val="hybridMultilevel"/>
    <w:tmpl w:val="0414F4CA"/>
    <w:lvl w:ilvl="0" w:tplc="448C0110">
      <w:start w:val="1"/>
      <w:numFmt w:val="decimal"/>
      <w:lvlText w:val="%1 point:"/>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0DA000C"/>
    <w:multiLevelType w:val="hybridMultilevel"/>
    <w:tmpl w:val="037C1A14"/>
    <w:lvl w:ilvl="0" w:tplc="0FA80E94">
      <w:start w:val="1"/>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21EB64A2"/>
    <w:multiLevelType w:val="hybridMultilevel"/>
    <w:tmpl w:val="DD22DD2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47F64AB"/>
    <w:multiLevelType w:val="multilevel"/>
    <w:tmpl w:val="0414F4CA"/>
    <w:lvl w:ilvl="0">
      <w:start w:val="1"/>
      <w:numFmt w:val="decimal"/>
      <w:lvlText w:val="%1 point:"/>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24CC6657"/>
    <w:multiLevelType w:val="hybridMultilevel"/>
    <w:tmpl w:val="A358E57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B2C6DB5"/>
    <w:multiLevelType w:val="hybridMultilevel"/>
    <w:tmpl w:val="158260E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BE102EE"/>
    <w:multiLevelType w:val="multilevel"/>
    <w:tmpl w:val="C9881E3A"/>
    <w:lvl w:ilvl="0">
      <w:start w:val="1"/>
      <w:numFmt w:val="decimal"/>
      <w:lvlText w:val="%1."/>
      <w:lvlJc w:val="left"/>
      <w:pPr>
        <w:tabs>
          <w:tab w:val="num" w:pos="0"/>
        </w:tabs>
        <w:ind w:left="0" w:firstLine="0"/>
      </w:pPr>
      <w:rPr>
        <w:rFonts w:hint="default"/>
        <w:b w:val="0"/>
        <w:i w:val="0"/>
      </w:rPr>
    </w:lvl>
    <w:lvl w:ilvl="1">
      <w:start w:val="1"/>
      <w:numFmt w:val="lowerLetter"/>
      <w:lvlText w:val="%2."/>
      <w:lvlJc w:val="left"/>
      <w:pPr>
        <w:tabs>
          <w:tab w:val="num" w:pos="720"/>
        </w:tabs>
        <w:ind w:left="720" w:hanging="360"/>
      </w:pPr>
      <w:rPr>
        <w:rFonts w:hint="default"/>
      </w:rPr>
    </w:lvl>
    <w:lvl w:ilvl="2">
      <w:start w:val="1"/>
      <w:numFmt w:val="lowerRoman"/>
      <w:lvlText w:val="%3."/>
      <w:lvlJc w:val="right"/>
      <w:pPr>
        <w:tabs>
          <w:tab w:val="num" w:pos="1440"/>
        </w:tabs>
        <w:ind w:left="1440" w:hanging="180"/>
      </w:pPr>
      <w:rPr>
        <w:rFonts w:hint="default"/>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5" w15:restartNumberingAfterBreak="0">
    <w:nsid w:val="2BF74E0F"/>
    <w:multiLevelType w:val="hybridMultilevel"/>
    <w:tmpl w:val="CFACA70A"/>
    <w:lvl w:ilvl="0" w:tplc="43626EAA">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2D182EAB"/>
    <w:multiLevelType w:val="hybridMultilevel"/>
    <w:tmpl w:val="44560E40"/>
    <w:lvl w:ilvl="0" w:tplc="0FA80E94">
      <w:start w:val="1"/>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2D4D2F1F"/>
    <w:multiLevelType w:val="hybridMultilevel"/>
    <w:tmpl w:val="EC4CB66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33393F11"/>
    <w:multiLevelType w:val="hybridMultilevel"/>
    <w:tmpl w:val="83F02CFE"/>
    <w:lvl w:ilvl="0" w:tplc="448C0110">
      <w:start w:val="1"/>
      <w:numFmt w:val="decimal"/>
      <w:lvlText w:val="%1 point:"/>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8420835"/>
    <w:multiLevelType w:val="hybridMultilevel"/>
    <w:tmpl w:val="0DBC37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9A34E8A"/>
    <w:multiLevelType w:val="hybridMultilevel"/>
    <w:tmpl w:val="79486370"/>
    <w:lvl w:ilvl="0" w:tplc="0FA80E94">
      <w:start w:val="1"/>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3ED4039F"/>
    <w:multiLevelType w:val="multilevel"/>
    <w:tmpl w:val="A8287CE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right"/>
      <w:pPr>
        <w:tabs>
          <w:tab w:val="num" w:pos="1440"/>
        </w:tabs>
        <w:ind w:left="1440" w:hanging="180"/>
      </w:pPr>
      <w:rPr>
        <w:rFonts w:hint="default"/>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22" w15:restartNumberingAfterBreak="0">
    <w:nsid w:val="417B3BF7"/>
    <w:multiLevelType w:val="hybridMultilevel"/>
    <w:tmpl w:val="7CA8A08A"/>
    <w:lvl w:ilvl="0" w:tplc="73FAA626">
      <w:start w:val="1"/>
      <w:numFmt w:val="bullet"/>
      <w:lvlText w:val=""/>
      <w:lvlJc w:val="left"/>
      <w:pPr>
        <w:tabs>
          <w:tab w:val="num" w:pos="720"/>
        </w:tabs>
        <w:ind w:left="720" w:hanging="360"/>
      </w:pPr>
      <w:rPr>
        <w:rFonts w:ascii="Wingdings" w:hAnsi="Wingdings" w:hint="default"/>
      </w:rPr>
    </w:lvl>
    <w:lvl w:ilvl="1" w:tplc="7E8C47E2" w:tentative="1">
      <w:start w:val="1"/>
      <w:numFmt w:val="bullet"/>
      <w:lvlText w:val=""/>
      <w:lvlJc w:val="left"/>
      <w:pPr>
        <w:tabs>
          <w:tab w:val="num" w:pos="1440"/>
        </w:tabs>
        <w:ind w:left="1440" w:hanging="360"/>
      </w:pPr>
      <w:rPr>
        <w:rFonts w:ascii="Wingdings" w:hAnsi="Wingdings" w:hint="default"/>
      </w:rPr>
    </w:lvl>
    <w:lvl w:ilvl="2" w:tplc="0E3A45B4" w:tentative="1">
      <w:start w:val="1"/>
      <w:numFmt w:val="bullet"/>
      <w:lvlText w:val=""/>
      <w:lvlJc w:val="left"/>
      <w:pPr>
        <w:tabs>
          <w:tab w:val="num" w:pos="2160"/>
        </w:tabs>
        <w:ind w:left="2160" w:hanging="360"/>
      </w:pPr>
      <w:rPr>
        <w:rFonts w:ascii="Wingdings" w:hAnsi="Wingdings" w:hint="default"/>
      </w:rPr>
    </w:lvl>
    <w:lvl w:ilvl="3" w:tplc="94248C7C" w:tentative="1">
      <w:start w:val="1"/>
      <w:numFmt w:val="bullet"/>
      <w:lvlText w:val=""/>
      <w:lvlJc w:val="left"/>
      <w:pPr>
        <w:tabs>
          <w:tab w:val="num" w:pos="2880"/>
        </w:tabs>
        <w:ind w:left="2880" w:hanging="360"/>
      </w:pPr>
      <w:rPr>
        <w:rFonts w:ascii="Wingdings" w:hAnsi="Wingdings" w:hint="default"/>
      </w:rPr>
    </w:lvl>
    <w:lvl w:ilvl="4" w:tplc="F2D8FA52" w:tentative="1">
      <w:start w:val="1"/>
      <w:numFmt w:val="bullet"/>
      <w:lvlText w:val=""/>
      <w:lvlJc w:val="left"/>
      <w:pPr>
        <w:tabs>
          <w:tab w:val="num" w:pos="3600"/>
        </w:tabs>
        <w:ind w:left="3600" w:hanging="360"/>
      </w:pPr>
      <w:rPr>
        <w:rFonts w:ascii="Wingdings" w:hAnsi="Wingdings" w:hint="default"/>
      </w:rPr>
    </w:lvl>
    <w:lvl w:ilvl="5" w:tplc="A15027E4" w:tentative="1">
      <w:start w:val="1"/>
      <w:numFmt w:val="bullet"/>
      <w:lvlText w:val=""/>
      <w:lvlJc w:val="left"/>
      <w:pPr>
        <w:tabs>
          <w:tab w:val="num" w:pos="4320"/>
        </w:tabs>
        <w:ind w:left="4320" w:hanging="360"/>
      </w:pPr>
      <w:rPr>
        <w:rFonts w:ascii="Wingdings" w:hAnsi="Wingdings" w:hint="default"/>
      </w:rPr>
    </w:lvl>
    <w:lvl w:ilvl="6" w:tplc="AE8E235C" w:tentative="1">
      <w:start w:val="1"/>
      <w:numFmt w:val="bullet"/>
      <w:lvlText w:val=""/>
      <w:lvlJc w:val="left"/>
      <w:pPr>
        <w:tabs>
          <w:tab w:val="num" w:pos="5040"/>
        </w:tabs>
        <w:ind w:left="5040" w:hanging="360"/>
      </w:pPr>
      <w:rPr>
        <w:rFonts w:ascii="Wingdings" w:hAnsi="Wingdings" w:hint="default"/>
      </w:rPr>
    </w:lvl>
    <w:lvl w:ilvl="7" w:tplc="E5A8017E" w:tentative="1">
      <w:start w:val="1"/>
      <w:numFmt w:val="bullet"/>
      <w:lvlText w:val=""/>
      <w:lvlJc w:val="left"/>
      <w:pPr>
        <w:tabs>
          <w:tab w:val="num" w:pos="5760"/>
        </w:tabs>
        <w:ind w:left="5760" w:hanging="360"/>
      </w:pPr>
      <w:rPr>
        <w:rFonts w:ascii="Wingdings" w:hAnsi="Wingdings" w:hint="default"/>
      </w:rPr>
    </w:lvl>
    <w:lvl w:ilvl="8" w:tplc="7C648832"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22F58D4"/>
    <w:multiLevelType w:val="multilevel"/>
    <w:tmpl w:val="A8287CE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right"/>
      <w:pPr>
        <w:tabs>
          <w:tab w:val="num" w:pos="1440"/>
        </w:tabs>
        <w:ind w:left="1440" w:hanging="180"/>
      </w:pPr>
      <w:rPr>
        <w:rFonts w:hint="default"/>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24" w15:restartNumberingAfterBreak="0">
    <w:nsid w:val="45C25F24"/>
    <w:multiLevelType w:val="hybridMultilevel"/>
    <w:tmpl w:val="607854B6"/>
    <w:lvl w:ilvl="0" w:tplc="0FA80E94">
      <w:start w:val="1"/>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99C2E55"/>
    <w:multiLevelType w:val="multilevel"/>
    <w:tmpl w:val="A8287CE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right"/>
      <w:pPr>
        <w:tabs>
          <w:tab w:val="num" w:pos="1440"/>
        </w:tabs>
        <w:ind w:left="1440" w:hanging="180"/>
      </w:pPr>
      <w:rPr>
        <w:rFonts w:hint="default"/>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26" w15:restartNumberingAfterBreak="0">
    <w:nsid w:val="53B9358C"/>
    <w:multiLevelType w:val="multilevel"/>
    <w:tmpl w:val="C9881E3A"/>
    <w:lvl w:ilvl="0">
      <w:start w:val="1"/>
      <w:numFmt w:val="decimal"/>
      <w:lvlText w:val="%1."/>
      <w:lvlJc w:val="left"/>
      <w:pPr>
        <w:tabs>
          <w:tab w:val="num" w:pos="0"/>
        </w:tabs>
        <w:ind w:left="0" w:firstLine="0"/>
      </w:pPr>
      <w:rPr>
        <w:rFonts w:hint="default"/>
        <w:b w:val="0"/>
        <w:i w:val="0"/>
      </w:rPr>
    </w:lvl>
    <w:lvl w:ilvl="1">
      <w:start w:val="1"/>
      <w:numFmt w:val="lowerLetter"/>
      <w:lvlText w:val="%2."/>
      <w:lvlJc w:val="left"/>
      <w:pPr>
        <w:tabs>
          <w:tab w:val="num" w:pos="720"/>
        </w:tabs>
        <w:ind w:left="720" w:hanging="360"/>
      </w:pPr>
      <w:rPr>
        <w:rFonts w:hint="default"/>
      </w:rPr>
    </w:lvl>
    <w:lvl w:ilvl="2">
      <w:start w:val="1"/>
      <w:numFmt w:val="lowerRoman"/>
      <w:lvlText w:val="%3."/>
      <w:lvlJc w:val="right"/>
      <w:pPr>
        <w:tabs>
          <w:tab w:val="num" w:pos="1440"/>
        </w:tabs>
        <w:ind w:left="1440" w:hanging="180"/>
      </w:pPr>
      <w:rPr>
        <w:rFonts w:hint="default"/>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27" w15:restartNumberingAfterBreak="0">
    <w:nsid w:val="590D063F"/>
    <w:multiLevelType w:val="multilevel"/>
    <w:tmpl w:val="A8287CE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right"/>
      <w:pPr>
        <w:tabs>
          <w:tab w:val="num" w:pos="1440"/>
        </w:tabs>
        <w:ind w:left="1440" w:hanging="180"/>
      </w:pPr>
      <w:rPr>
        <w:rFonts w:hint="default"/>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28" w15:restartNumberingAfterBreak="0">
    <w:nsid w:val="609213F7"/>
    <w:multiLevelType w:val="hybridMultilevel"/>
    <w:tmpl w:val="447E0134"/>
    <w:lvl w:ilvl="0" w:tplc="E162E72A">
      <w:start w:val="1"/>
      <w:numFmt w:val="bullet"/>
      <w:lvlText w:val=""/>
      <w:lvlJc w:val="left"/>
      <w:pPr>
        <w:tabs>
          <w:tab w:val="num" w:pos="360"/>
        </w:tabs>
        <w:ind w:left="360" w:hanging="360"/>
      </w:pPr>
      <w:rPr>
        <w:rFonts w:ascii="Symbol" w:hAnsi="Symbol" w:hint="default"/>
        <w:b w:val="0"/>
        <w:i w:val="0"/>
      </w:rPr>
    </w:lvl>
    <w:lvl w:ilvl="1" w:tplc="04090019" w:tentative="1">
      <w:start w:val="1"/>
      <w:numFmt w:val="bullet"/>
      <w:lvlText w:val="o"/>
      <w:lvlJc w:val="left"/>
      <w:pPr>
        <w:tabs>
          <w:tab w:val="num" w:pos="1080"/>
        </w:tabs>
        <w:ind w:left="1080" w:hanging="360"/>
      </w:pPr>
      <w:rPr>
        <w:rFonts w:ascii="Courier New" w:hAnsi="Courier New" w:cs="Courier New" w:hint="default"/>
      </w:rPr>
    </w:lvl>
    <w:lvl w:ilvl="2" w:tplc="0409001B" w:tentative="1">
      <w:start w:val="1"/>
      <w:numFmt w:val="bullet"/>
      <w:lvlText w:val=""/>
      <w:lvlJc w:val="left"/>
      <w:pPr>
        <w:tabs>
          <w:tab w:val="num" w:pos="1800"/>
        </w:tabs>
        <w:ind w:left="1800" w:hanging="360"/>
      </w:pPr>
      <w:rPr>
        <w:rFonts w:ascii="Wingdings" w:hAnsi="Wingdings"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cs="Courier New"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cs="Courier New"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66CD0718"/>
    <w:multiLevelType w:val="hybridMultilevel"/>
    <w:tmpl w:val="C76270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29"/>
  </w:num>
  <w:num w:numId="3">
    <w:abstractNumId w:val="22"/>
  </w:num>
  <w:num w:numId="4">
    <w:abstractNumId w:val="25"/>
  </w:num>
  <w:num w:numId="5">
    <w:abstractNumId w:val="12"/>
  </w:num>
  <w:num w:numId="6">
    <w:abstractNumId w:val="2"/>
  </w:num>
  <w:num w:numId="7">
    <w:abstractNumId w:val="21"/>
  </w:num>
  <w:num w:numId="8">
    <w:abstractNumId w:val="27"/>
  </w:num>
  <w:num w:numId="9">
    <w:abstractNumId w:val="23"/>
  </w:num>
  <w:num w:numId="10">
    <w:abstractNumId w:val="16"/>
  </w:num>
  <w:num w:numId="11">
    <w:abstractNumId w:val="9"/>
  </w:num>
  <w:num w:numId="12">
    <w:abstractNumId w:val="3"/>
  </w:num>
  <w:num w:numId="13">
    <w:abstractNumId w:val="6"/>
  </w:num>
  <w:num w:numId="14">
    <w:abstractNumId w:val="26"/>
  </w:num>
  <w:num w:numId="15">
    <w:abstractNumId w:val="4"/>
  </w:num>
  <w:num w:numId="16">
    <w:abstractNumId w:val="10"/>
  </w:num>
  <w:num w:numId="17">
    <w:abstractNumId w:val="5"/>
  </w:num>
  <w:num w:numId="18">
    <w:abstractNumId w:val="13"/>
  </w:num>
  <w:num w:numId="19">
    <w:abstractNumId w:val="17"/>
  </w:num>
  <w:num w:numId="20">
    <w:abstractNumId w:val="15"/>
  </w:num>
  <w:num w:numId="21">
    <w:abstractNumId w:val="28"/>
  </w:num>
  <w:num w:numId="22">
    <w:abstractNumId w:val="0"/>
  </w:num>
  <w:num w:numId="23">
    <w:abstractNumId w:val="7"/>
  </w:num>
  <w:num w:numId="24">
    <w:abstractNumId w:val="8"/>
  </w:num>
  <w:num w:numId="25">
    <w:abstractNumId w:val="11"/>
  </w:num>
  <w:num w:numId="26">
    <w:abstractNumId w:val="18"/>
  </w:num>
  <w:num w:numId="27">
    <w:abstractNumId w:val="14"/>
  </w:num>
  <w:num w:numId="28">
    <w:abstractNumId w:val="1"/>
  </w:num>
  <w:num w:numId="29">
    <w:abstractNumId w:val="24"/>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D0B"/>
    <w:rsid w:val="00000F16"/>
    <w:rsid w:val="00021601"/>
    <w:rsid w:val="000348E4"/>
    <w:rsid w:val="000442F0"/>
    <w:rsid w:val="00045307"/>
    <w:rsid w:val="00053DDC"/>
    <w:rsid w:val="00062C72"/>
    <w:rsid w:val="00065663"/>
    <w:rsid w:val="000668CF"/>
    <w:rsid w:val="00066C9F"/>
    <w:rsid w:val="00070228"/>
    <w:rsid w:val="00077E2D"/>
    <w:rsid w:val="00085A38"/>
    <w:rsid w:val="000A5BDB"/>
    <w:rsid w:val="000A670D"/>
    <w:rsid w:val="000C1BAB"/>
    <w:rsid w:val="000C2F11"/>
    <w:rsid w:val="000E3791"/>
    <w:rsid w:val="000E37B1"/>
    <w:rsid w:val="000F092F"/>
    <w:rsid w:val="000F2B94"/>
    <w:rsid w:val="00103331"/>
    <w:rsid w:val="00120237"/>
    <w:rsid w:val="00124310"/>
    <w:rsid w:val="00133A27"/>
    <w:rsid w:val="001370E0"/>
    <w:rsid w:val="00140196"/>
    <w:rsid w:val="00147C38"/>
    <w:rsid w:val="0015061E"/>
    <w:rsid w:val="0016218E"/>
    <w:rsid w:val="00167129"/>
    <w:rsid w:val="00167278"/>
    <w:rsid w:val="00167C3B"/>
    <w:rsid w:val="0017432B"/>
    <w:rsid w:val="00176565"/>
    <w:rsid w:val="00181BE9"/>
    <w:rsid w:val="00191D0B"/>
    <w:rsid w:val="00192C9B"/>
    <w:rsid w:val="001A14AC"/>
    <w:rsid w:val="001A466A"/>
    <w:rsid w:val="001A652A"/>
    <w:rsid w:val="001B01DB"/>
    <w:rsid w:val="001B2605"/>
    <w:rsid w:val="001C6931"/>
    <w:rsid w:val="00206DBB"/>
    <w:rsid w:val="00210245"/>
    <w:rsid w:val="00220B79"/>
    <w:rsid w:val="0022388A"/>
    <w:rsid w:val="00233678"/>
    <w:rsid w:val="00233E0B"/>
    <w:rsid w:val="002356DB"/>
    <w:rsid w:val="00244082"/>
    <w:rsid w:val="002572AB"/>
    <w:rsid w:val="00261F9B"/>
    <w:rsid w:val="00263328"/>
    <w:rsid w:val="00267162"/>
    <w:rsid w:val="002704C9"/>
    <w:rsid w:val="00287D7F"/>
    <w:rsid w:val="00293737"/>
    <w:rsid w:val="002959B3"/>
    <w:rsid w:val="00295FBE"/>
    <w:rsid w:val="002B2E86"/>
    <w:rsid w:val="002B7855"/>
    <w:rsid w:val="002C0591"/>
    <w:rsid w:val="002C7FB9"/>
    <w:rsid w:val="002D45EB"/>
    <w:rsid w:val="002E7D49"/>
    <w:rsid w:val="00305C6F"/>
    <w:rsid w:val="00311AC0"/>
    <w:rsid w:val="003124CF"/>
    <w:rsid w:val="00316621"/>
    <w:rsid w:val="00316EEA"/>
    <w:rsid w:val="00324647"/>
    <w:rsid w:val="003311CD"/>
    <w:rsid w:val="0038395F"/>
    <w:rsid w:val="00392302"/>
    <w:rsid w:val="003B40F0"/>
    <w:rsid w:val="003B6EEA"/>
    <w:rsid w:val="003D30C1"/>
    <w:rsid w:val="003D334B"/>
    <w:rsid w:val="003D4B40"/>
    <w:rsid w:val="003F43A5"/>
    <w:rsid w:val="003F744B"/>
    <w:rsid w:val="0041210F"/>
    <w:rsid w:val="00420DB5"/>
    <w:rsid w:val="004265A7"/>
    <w:rsid w:val="004440C5"/>
    <w:rsid w:val="00460679"/>
    <w:rsid w:val="00460B56"/>
    <w:rsid w:val="00464A3C"/>
    <w:rsid w:val="00464A93"/>
    <w:rsid w:val="00475FD2"/>
    <w:rsid w:val="00477C28"/>
    <w:rsid w:val="0048656B"/>
    <w:rsid w:val="004975B0"/>
    <w:rsid w:val="004A122F"/>
    <w:rsid w:val="004A2359"/>
    <w:rsid w:val="004A3A6B"/>
    <w:rsid w:val="004A7A0C"/>
    <w:rsid w:val="004C0E20"/>
    <w:rsid w:val="004C6884"/>
    <w:rsid w:val="004D10AA"/>
    <w:rsid w:val="004D1773"/>
    <w:rsid w:val="004D6EBC"/>
    <w:rsid w:val="004F14E1"/>
    <w:rsid w:val="004F1F73"/>
    <w:rsid w:val="004F5ED0"/>
    <w:rsid w:val="00503C47"/>
    <w:rsid w:val="0050670D"/>
    <w:rsid w:val="00512111"/>
    <w:rsid w:val="00524DE5"/>
    <w:rsid w:val="005411DA"/>
    <w:rsid w:val="005418BA"/>
    <w:rsid w:val="00551572"/>
    <w:rsid w:val="00554848"/>
    <w:rsid w:val="005560DF"/>
    <w:rsid w:val="00567E08"/>
    <w:rsid w:val="0057569A"/>
    <w:rsid w:val="0058096C"/>
    <w:rsid w:val="00584E62"/>
    <w:rsid w:val="00597426"/>
    <w:rsid w:val="005A1BB4"/>
    <w:rsid w:val="005A2A85"/>
    <w:rsid w:val="005A4D37"/>
    <w:rsid w:val="005A62B8"/>
    <w:rsid w:val="005B37A9"/>
    <w:rsid w:val="005B689B"/>
    <w:rsid w:val="005C1641"/>
    <w:rsid w:val="005C553D"/>
    <w:rsid w:val="005D0B6C"/>
    <w:rsid w:val="005E3330"/>
    <w:rsid w:val="005E4B27"/>
    <w:rsid w:val="005E4D68"/>
    <w:rsid w:val="0060212A"/>
    <w:rsid w:val="00602D65"/>
    <w:rsid w:val="00610ED1"/>
    <w:rsid w:val="006145A1"/>
    <w:rsid w:val="00632E47"/>
    <w:rsid w:val="006357FB"/>
    <w:rsid w:val="006478D6"/>
    <w:rsid w:val="00655F7F"/>
    <w:rsid w:val="006669B2"/>
    <w:rsid w:val="00667357"/>
    <w:rsid w:val="0067182C"/>
    <w:rsid w:val="006838EC"/>
    <w:rsid w:val="0069056C"/>
    <w:rsid w:val="006944A0"/>
    <w:rsid w:val="006A0EF5"/>
    <w:rsid w:val="006A47A4"/>
    <w:rsid w:val="006A6DD3"/>
    <w:rsid w:val="006A712A"/>
    <w:rsid w:val="006B0258"/>
    <w:rsid w:val="006B08E0"/>
    <w:rsid w:val="006B131B"/>
    <w:rsid w:val="006C48C0"/>
    <w:rsid w:val="006D274D"/>
    <w:rsid w:val="006D2B61"/>
    <w:rsid w:val="006E03AD"/>
    <w:rsid w:val="006E03B0"/>
    <w:rsid w:val="006E2843"/>
    <w:rsid w:val="006E4B46"/>
    <w:rsid w:val="007007D4"/>
    <w:rsid w:val="00702B2B"/>
    <w:rsid w:val="00707CD6"/>
    <w:rsid w:val="00720486"/>
    <w:rsid w:val="00722B3A"/>
    <w:rsid w:val="0074371A"/>
    <w:rsid w:val="00754776"/>
    <w:rsid w:val="00761693"/>
    <w:rsid w:val="007776E2"/>
    <w:rsid w:val="0078187A"/>
    <w:rsid w:val="0078796E"/>
    <w:rsid w:val="00794BC7"/>
    <w:rsid w:val="007A68B4"/>
    <w:rsid w:val="007B098D"/>
    <w:rsid w:val="007B6E43"/>
    <w:rsid w:val="007C4E82"/>
    <w:rsid w:val="007D595C"/>
    <w:rsid w:val="007D766A"/>
    <w:rsid w:val="007F42DB"/>
    <w:rsid w:val="00801E59"/>
    <w:rsid w:val="00805AFB"/>
    <w:rsid w:val="00832646"/>
    <w:rsid w:val="008370A4"/>
    <w:rsid w:val="00865A26"/>
    <w:rsid w:val="00865E54"/>
    <w:rsid w:val="00867A37"/>
    <w:rsid w:val="00870487"/>
    <w:rsid w:val="00874402"/>
    <w:rsid w:val="00875CAB"/>
    <w:rsid w:val="008823A3"/>
    <w:rsid w:val="00890EBF"/>
    <w:rsid w:val="008A1882"/>
    <w:rsid w:val="008A3063"/>
    <w:rsid w:val="008A7B20"/>
    <w:rsid w:val="008C0EBC"/>
    <w:rsid w:val="008C1FD4"/>
    <w:rsid w:val="008C4690"/>
    <w:rsid w:val="008D3E52"/>
    <w:rsid w:val="008E48DA"/>
    <w:rsid w:val="008E6E72"/>
    <w:rsid w:val="008F131C"/>
    <w:rsid w:val="008F2545"/>
    <w:rsid w:val="009001A9"/>
    <w:rsid w:val="00912B3C"/>
    <w:rsid w:val="00914ED4"/>
    <w:rsid w:val="00926F2A"/>
    <w:rsid w:val="00930110"/>
    <w:rsid w:val="00935E9A"/>
    <w:rsid w:val="00937367"/>
    <w:rsid w:val="00941AB8"/>
    <w:rsid w:val="00950794"/>
    <w:rsid w:val="00954BDF"/>
    <w:rsid w:val="00957B26"/>
    <w:rsid w:val="0097073C"/>
    <w:rsid w:val="00972668"/>
    <w:rsid w:val="00980314"/>
    <w:rsid w:val="009840CC"/>
    <w:rsid w:val="00984C1C"/>
    <w:rsid w:val="00984FF6"/>
    <w:rsid w:val="009877FA"/>
    <w:rsid w:val="00990F1D"/>
    <w:rsid w:val="00994240"/>
    <w:rsid w:val="00995F70"/>
    <w:rsid w:val="009A07BB"/>
    <w:rsid w:val="009A2B3F"/>
    <w:rsid w:val="009A4F46"/>
    <w:rsid w:val="009A5119"/>
    <w:rsid w:val="009B10FE"/>
    <w:rsid w:val="009B4230"/>
    <w:rsid w:val="009B7EE2"/>
    <w:rsid w:val="009C1506"/>
    <w:rsid w:val="009D5A56"/>
    <w:rsid w:val="009F0869"/>
    <w:rsid w:val="00A01EBB"/>
    <w:rsid w:val="00A0317B"/>
    <w:rsid w:val="00A12B2E"/>
    <w:rsid w:val="00A2692C"/>
    <w:rsid w:val="00A46B4D"/>
    <w:rsid w:val="00A53EFE"/>
    <w:rsid w:val="00A57F3C"/>
    <w:rsid w:val="00A672BB"/>
    <w:rsid w:val="00A70693"/>
    <w:rsid w:val="00A727B5"/>
    <w:rsid w:val="00A76053"/>
    <w:rsid w:val="00A77A79"/>
    <w:rsid w:val="00A80996"/>
    <w:rsid w:val="00A82217"/>
    <w:rsid w:val="00A97FA3"/>
    <w:rsid w:val="00AA4F1B"/>
    <w:rsid w:val="00AB0145"/>
    <w:rsid w:val="00AB2432"/>
    <w:rsid w:val="00AC5BF5"/>
    <w:rsid w:val="00AD2DEC"/>
    <w:rsid w:val="00AD48F1"/>
    <w:rsid w:val="00AD7513"/>
    <w:rsid w:val="00AE6ED8"/>
    <w:rsid w:val="00AF19A9"/>
    <w:rsid w:val="00AF4A74"/>
    <w:rsid w:val="00AF5678"/>
    <w:rsid w:val="00B0449E"/>
    <w:rsid w:val="00B055D8"/>
    <w:rsid w:val="00B14CB6"/>
    <w:rsid w:val="00B17587"/>
    <w:rsid w:val="00B31BF0"/>
    <w:rsid w:val="00B424CF"/>
    <w:rsid w:val="00B64D4B"/>
    <w:rsid w:val="00B73DDF"/>
    <w:rsid w:val="00B75CF7"/>
    <w:rsid w:val="00B80617"/>
    <w:rsid w:val="00B96D8C"/>
    <w:rsid w:val="00BA48CE"/>
    <w:rsid w:val="00BA4D03"/>
    <w:rsid w:val="00BB1A55"/>
    <w:rsid w:val="00BB50B7"/>
    <w:rsid w:val="00BC21BE"/>
    <w:rsid w:val="00BD5356"/>
    <w:rsid w:val="00BD53CB"/>
    <w:rsid w:val="00BD6EA3"/>
    <w:rsid w:val="00BE1C95"/>
    <w:rsid w:val="00BE2BE7"/>
    <w:rsid w:val="00BF0256"/>
    <w:rsid w:val="00BF33C6"/>
    <w:rsid w:val="00C041F9"/>
    <w:rsid w:val="00C053A7"/>
    <w:rsid w:val="00C32DC5"/>
    <w:rsid w:val="00C35369"/>
    <w:rsid w:val="00C36642"/>
    <w:rsid w:val="00C366D0"/>
    <w:rsid w:val="00C40D67"/>
    <w:rsid w:val="00C415A5"/>
    <w:rsid w:val="00C43505"/>
    <w:rsid w:val="00C53DA5"/>
    <w:rsid w:val="00C66FD7"/>
    <w:rsid w:val="00C70497"/>
    <w:rsid w:val="00C7443B"/>
    <w:rsid w:val="00C766CD"/>
    <w:rsid w:val="00CA2570"/>
    <w:rsid w:val="00CA4B3B"/>
    <w:rsid w:val="00CB170C"/>
    <w:rsid w:val="00CB3667"/>
    <w:rsid w:val="00CB3CF1"/>
    <w:rsid w:val="00CB3E46"/>
    <w:rsid w:val="00CB4EFD"/>
    <w:rsid w:val="00CC67F4"/>
    <w:rsid w:val="00CC7170"/>
    <w:rsid w:val="00CD2D6B"/>
    <w:rsid w:val="00CD32DF"/>
    <w:rsid w:val="00CE2441"/>
    <w:rsid w:val="00CE292A"/>
    <w:rsid w:val="00CF4F57"/>
    <w:rsid w:val="00CF53DF"/>
    <w:rsid w:val="00D02C01"/>
    <w:rsid w:val="00D04A7B"/>
    <w:rsid w:val="00D10B23"/>
    <w:rsid w:val="00D2076E"/>
    <w:rsid w:val="00D20973"/>
    <w:rsid w:val="00D41760"/>
    <w:rsid w:val="00D42A3A"/>
    <w:rsid w:val="00D43135"/>
    <w:rsid w:val="00D55FA1"/>
    <w:rsid w:val="00D56714"/>
    <w:rsid w:val="00D622F2"/>
    <w:rsid w:val="00D623D6"/>
    <w:rsid w:val="00D638CA"/>
    <w:rsid w:val="00D63D1D"/>
    <w:rsid w:val="00D67AD3"/>
    <w:rsid w:val="00D73241"/>
    <w:rsid w:val="00D75899"/>
    <w:rsid w:val="00D8029B"/>
    <w:rsid w:val="00D84AB7"/>
    <w:rsid w:val="00D852C1"/>
    <w:rsid w:val="00D8785C"/>
    <w:rsid w:val="00D90675"/>
    <w:rsid w:val="00D9446A"/>
    <w:rsid w:val="00DA09CD"/>
    <w:rsid w:val="00DA6766"/>
    <w:rsid w:val="00DB4B05"/>
    <w:rsid w:val="00DC3E62"/>
    <w:rsid w:val="00DD40E3"/>
    <w:rsid w:val="00DD4279"/>
    <w:rsid w:val="00DD4BE7"/>
    <w:rsid w:val="00DD531D"/>
    <w:rsid w:val="00DD60F0"/>
    <w:rsid w:val="00DE3C43"/>
    <w:rsid w:val="00DF7D73"/>
    <w:rsid w:val="00E02C3F"/>
    <w:rsid w:val="00E02C5B"/>
    <w:rsid w:val="00E0440D"/>
    <w:rsid w:val="00E1181C"/>
    <w:rsid w:val="00E1221A"/>
    <w:rsid w:val="00E16980"/>
    <w:rsid w:val="00E26E52"/>
    <w:rsid w:val="00E30F5D"/>
    <w:rsid w:val="00E447F5"/>
    <w:rsid w:val="00E4588A"/>
    <w:rsid w:val="00E63D0F"/>
    <w:rsid w:val="00E66342"/>
    <w:rsid w:val="00E71B30"/>
    <w:rsid w:val="00E74075"/>
    <w:rsid w:val="00E75BF3"/>
    <w:rsid w:val="00E902D2"/>
    <w:rsid w:val="00E92200"/>
    <w:rsid w:val="00E92ECD"/>
    <w:rsid w:val="00E94CEA"/>
    <w:rsid w:val="00EA0B9C"/>
    <w:rsid w:val="00EA4D7B"/>
    <w:rsid w:val="00EF073B"/>
    <w:rsid w:val="00EF674D"/>
    <w:rsid w:val="00F00CC3"/>
    <w:rsid w:val="00F11D2A"/>
    <w:rsid w:val="00F25A07"/>
    <w:rsid w:val="00F40403"/>
    <w:rsid w:val="00F51F1A"/>
    <w:rsid w:val="00F524D2"/>
    <w:rsid w:val="00F55182"/>
    <w:rsid w:val="00F6051E"/>
    <w:rsid w:val="00F6087F"/>
    <w:rsid w:val="00F63463"/>
    <w:rsid w:val="00F707DD"/>
    <w:rsid w:val="00F70B58"/>
    <w:rsid w:val="00F77FD1"/>
    <w:rsid w:val="00F84588"/>
    <w:rsid w:val="00F92523"/>
    <w:rsid w:val="00F94D01"/>
    <w:rsid w:val="00FB7154"/>
    <w:rsid w:val="00FC0162"/>
    <w:rsid w:val="00FD4AFF"/>
    <w:rsid w:val="00FD51FB"/>
    <w:rsid w:val="00FD7FD5"/>
    <w:rsid w:val="00FE7214"/>
    <w:rsid w:val="00FF55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62124991"/>
  <w15:docId w15:val="{51CBB4F5-0A3E-402A-BE7D-C5804C7FD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8F2545"/>
    <w:pPr>
      <w:spacing w:before="100" w:beforeAutospacing="1" w:after="100" w:afterAutospacing="1" w:line="316" w:lineRule="atLeast"/>
    </w:pPr>
    <w:rPr>
      <w:rFonts w:ascii="Verdana" w:hAnsi="Verdana"/>
      <w:sz w:val="21"/>
      <w:szCs w:val="21"/>
    </w:rPr>
  </w:style>
  <w:style w:type="table" w:styleId="TableGrid7">
    <w:name w:val="Table Grid 7"/>
    <w:basedOn w:val="TableNormal"/>
    <w:rsid w:val="008F2545"/>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Classic1">
    <w:name w:val="Table Classic 1"/>
    <w:basedOn w:val="TableNormal"/>
    <w:rsid w:val="008F2545"/>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
    <w:name w:val="Table Grid"/>
    <w:basedOn w:val="TableNormal"/>
    <w:rsid w:val="007C4E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6357FB"/>
    <w:rPr>
      <w:color w:val="0000FF"/>
      <w:u w:val="single"/>
    </w:rPr>
  </w:style>
  <w:style w:type="character" w:styleId="PageNumber">
    <w:name w:val="page number"/>
    <w:basedOn w:val="DefaultParagraphFont"/>
    <w:rsid w:val="00F40403"/>
  </w:style>
  <w:style w:type="paragraph" w:styleId="Footer">
    <w:name w:val="footer"/>
    <w:basedOn w:val="Normal"/>
    <w:rsid w:val="00F40403"/>
    <w:pPr>
      <w:tabs>
        <w:tab w:val="center" w:pos="4320"/>
        <w:tab w:val="right" w:pos="8640"/>
      </w:tabs>
    </w:pPr>
  </w:style>
  <w:style w:type="paragraph" w:styleId="Header">
    <w:name w:val="header"/>
    <w:basedOn w:val="Normal"/>
    <w:rsid w:val="005560DF"/>
    <w:pPr>
      <w:tabs>
        <w:tab w:val="center" w:pos="4320"/>
        <w:tab w:val="right" w:pos="8640"/>
      </w:tabs>
    </w:pPr>
  </w:style>
  <w:style w:type="character" w:styleId="FollowedHyperlink">
    <w:name w:val="FollowedHyperlink"/>
    <w:basedOn w:val="DefaultParagraphFont"/>
    <w:rsid w:val="00E63D0F"/>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86936">
      <w:bodyDiv w:val="1"/>
      <w:marLeft w:val="0"/>
      <w:marRight w:val="0"/>
      <w:marTop w:val="0"/>
      <w:marBottom w:val="0"/>
      <w:divBdr>
        <w:top w:val="none" w:sz="0" w:space="0" w:color="auto"/>
        <w:left w:val="none" w:sz="0" w:space="0" w:color="auto"/>
        <w:bottom w:val="none" w:sz="0" w:space="0" w:color="auto"/>
        <w:right w:val="none" w:sz="0" w:space="0" w:color="auto"/>
      </w:divBdr>
    </w:div>
    <w:div w:id="331107192">
      <w:bodyDiv w:val="1"/>
      <w:marLeft w:val="0"/>
      <w:marRight w:val="0"/>
      <w:marTop w:val="0"/>
      <w:marBottom w:val="0"/>
      <w:divBdr>
        <w:top w:val="none" w:sz="0" w:space="0" w:color="auto"/>
        <w:left w:val="none" w:sz="0" w:space="0" w:color="auto"/>
        <w:bottom w:val="none" w:sz="0" w:space="0" w:color="auto"/>
        <w:right w:val="none" w:sz="0" w:space="0" w:color="auto"/>
      </w:divBdr>
    </w:div>
    <w:div w:id="1178731924">
      <w:bodyDiv w:val="1"/>
      <w:marLeft w:val="0"/>
      <w:marRight w:val="0"/>
      <w:marTop w:val="0"/>
      <w:marBottom w:val="0"/>
      <w:divBdr>
        <w:top w:val="none" w:sz="0" w:space="0" w:color="auto"/>
        <w:left w:val="none" w:sz="0" w:space="0" w:color="auto"/>
        <w:bottom w:val="none" w:sz="0" w:space="0" w:color="auto"/>
        <w:right w:val="none" w:sz="0" w:space="0" w:color="auto"/>
      </w:divBdr>
    </w:div>
    <w:div w:id="1312977822">
      <w:bodyDiv w:val="1"/>
      <w:marLeft w:val="0"/>
      <w:marRight w:val="0"/>
      <w:marTop w:val="0"/>
      <w:marBottom w:val="0"/>
      <w:divBdr>
        <w:top w:val="none" w:sz="0" w:space="0" w:color="auto"/>
        <w:left w:val="none" w:sz="0" w:space="0" w:color="auto"/>
        <w:bottom w:val="none" w:sz="0" w:space="0" w:color="auto"/>
        <w:right w:val="none" w:sz="0" w:space="0" w:color="auto"/>
      </w:divBdr>
      <w:divsChild>
        <w:div w:id="639923210">
          <w:marLeft w:val="0"/>
          <w:marRight w:val="0"/>
          <w:marTop w:val="0"/>
          <w:marBottom w:val="0"/>
          <w:divBdr>
            <w:top w:val="none" w:sz="0" w:space="0" w:color="auto"/>
            <w:left w:val="none" w:sz="0" w:space="0" w:color="auto"/>
            <w:bottom w:val="none" w:sz="0" w:space="0" w:color="auto"/>
            <w:right w:val="none" w:sz="0" w:space="0" w:color="auto"/>
          </w:divBdr>
          <w:divsChild>
            <w:div w:id="355664287">
              <w:marLeft w:val="0"/>
              <w:marRight w:val="0"/>
              <w:marTop w:val="0"/>
              <w:marBottom w:val="0"/>
              <w:divBdr>
                <w:top w:val="none" w:sz="0" w:space="0" w:color="auto"/>
                <w:left w:val="none" w:sz="0" w:space="0" w:color="auto"/>
                <w:bottom w:val="none" w:sz="0" w:space="0" w:color="auto"/>
                <w:right w:val="none" w:sz="0" w:space="0" w:color="auto"/>
              </w:divBdr>
            </w:div>
            <w:div w:id="910195620">
              <w:marLeft w:val="0"/>
              <w:marRight w:val="0"/>
              <w:marTop w:val="0"/>
              <w:marBottom w:val="0"/>
              <w:divBdr>
                <w:top w:val="none" w:sz="0" w:space="0" w:color="auto"/>
                <w:left w:val="none" w:sz="0" w:space="0" w:color="auto"/>
                <w:bottom w:val="none" w:sz="0" w:space="0" w:color="auto"/>
                <w:right w:val="none" w:sz="0" w:space="0" w:color="auto"/>
              </w:divBdr>
            </w:div>
            <w:div w:id="1207256556">
              <w:marLeft w:val="0"/>
              <w:marRight w:val="0"/>
              <w:marTop w:val="0"/>
              <w:marBottom w:val="0"/>
              <w:divBdr>
                <w:top w:val="none" w:sz="0" w:space="0" w:color="auto"/>
                <w:left w:val="none" w:sz="0" w:space="0" w:color="auto"/>
                <w:bottom w:val="none" w:sz="0" w:space="0" w:color="auto"/>
                <w:right w:val="none" w:sz="0" w:space="0" w:color="auto"/>
              </w:divBdr>
            </w:div>
            <w:div w:id="209593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546989">
      <w:bodyDiv w:val="1"/>
      <w:marLeft w:val="0"/>
      <w:marRight w:val="0"/>
      <w:marTop w:val="0"/>
      <w:marBottom w:val="0"/>
      <w:divBdr>
        <w:top w:val="none" w:sz="0" w:space="0" w:color="auto"/>
        <w:left w:val="none" w:sz="0" w:space="0" w:color="auto"/>
        <w:bottom w:val="none" w:sz="0" w:space="0" w:color="auto"/>
        <w:right w:val="none" w:sz="0" w:space="0" w:color="auto"/>
      </w:divBdr>
    </w:div>
    <w:div w:id="1386445466">
      <w:bodyDiv w:val="1"/>
      <w:marLeft w:val="0"/>
      <w:marRight w:val="0"/>
      <w:marTop w:val="0"/>
      <w:marBottom w:val="0"/>
      <w:divBdr>
        <w:top w:val="none" w:sz="0" w:space="0" w:color="auto"/>
        <w:left w:val="none" w:sz="0" w:space="0" w:color="auto"/>
        <w:bottom w:val="none" w:sz="0" w:space="0" w:color="auto"/>
        <w:right w:val="none" w:sz="0" w:space="0" w:color="auto"/>
      </w:divBdr>
    </w:div>
    <w:div w:id="1722485175">
      <w:bodyDiv w:val="1"/>
      <w:marLeft w:val="0"/>
      <w:marRight w:val="0"/>
      <w:marTop w:val="0"/>
      <w:marBottom w:val="0"/>
      <w:divBdr>
        <w:top w:val="none" w:sz="0" w:space="0" w:color="auto"/>
        <w:left w:val="none" w:sz="0" w:space="0" w:color="auto"/>
        <w:bottom w:val="none" w:sz="0" w:space="0" w:color="auto"/>
        <w:right w:val="none" w:sz="0" w:space="0" w:color="auto"/>
      </w:divBdr>
    </w:div>
    <w:div w:id="1733387616">
      <w:bodyDiv w:val="1"/>
      <w:marLeft w:val="0"/>
      <w:marRight w:val="0"/>
      <w:marTop w:val="0"/>
      <w:marBottom w:val="0"/>
      <w:divBdr>
        <w:top w:val="none" w:sz="0" w:space="0" w:color="auto"/>
        <w:left w:val="none" w:sz="0" w:space="0" w:color="auto"/>
        <w:bottom w:val="none" w:sz="0" w:space="0" w:color="auto"/>
        <w:right w:val="none" w:sz="0" w:space="0" w:color="auto"/>
      </w:divBdr>
    </w:div>
    <w:div w:id="1975452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1187</Words>
  <Characters>6766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Instructor manual Case 1</vt:lpstr>
    </vt:vector>
  </TitlesOfParts>
  <Company>UF</Company>
  <LinksUpToDate>false</LinksUpToDate>
  <CharactersWithSpaces>7938</CharactersWithSpaces>
  <SharedDoc>false</SharedDoc>
  <HLinks>
    <vt:vector size="12" baseType="variant">
      <vt:variant>
        <vt:i4>6946832</vt:i4>
      </vt:variant>
      <vt:variant>
        <vt:i4>3</vt:i4>
      </vt:variant>
      <vt:variant>
        <vt:i4>0</vt:i4>
      </vt:variant>
      <vt:variant>
        <vt:i4>5</vt:i4>
      </vt:variant>
      <vt:variant>
        <vt:lpwstr>mailto:hheneman@bus.wisc.edu</vt:lpwstr>
      </vt:variant>
      <vt:variant>
        <vt:lpwstr/>
      </vt:variant>
      <vt:variant>
        <vt:i4>458791</vt:i4>
      </vt:variant>
      <vt:variant>
        <vt:i4>0</vt:i4>
      </vt:variant>
      <vt:variant>
        <vt:i4>0</vt:i4>
      </vt:variant>
      <vt:variant>
        <vt:i4>5</vt:i4>
      </vt:variant>
      <vt:variant>
        <vt:lpwstr>mailto:kammeyjd@ufl.edu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Instructor manual Case 1</dc:title>
  <dc:subject/>
  <dc:creator>Aldebasy, Talal Yousef A</dc:creator>
  <cp:keywords/>
  <dc:description/>
  <cp:lastModifiedBy>Aldebasy, Talal Yousef A</cp:lastModifiedBy>
  <cp:revision>2</cp:revision>
  <dcterms:created xsi:type="dcterms:W3CDTF">2017-11-14T20:42:00Z</dcterms:created>
  <dcterms:modified xsi:type="dcterms:W3CDTF">2017-11-14T20:42:00Z</dcterms:modified>
</cp:coreProperties>
</file>